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Wednesday 23</w:t>
      </w:r>
      <w:r w:rsidRPr="00181DA6">
        <w:rPr>
          <w:rFonts w:ascii="Arial" w:hAnsi="Arial" w:cs="Arial"/>
          <w:sz w:val="24"/>
          <w:szCs w:val="24"/>
          <w:vertAlign w:val="superscript"/>
        </w:rPr>
        <w:t>rd</w:t>
      </w:r>
      <w:r>
        <w:rPr>
          <w:rFonts w:ascii="Arial" w:hAnsi="Arial" w:cs="Arial"/>
          <w:sz w:val="24"/>
          <w:szCs w:val="24"/>
        </w:rPr>
        <w:t xml:space="preserve"> March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A431D3" w:rsidP="00181DA6">
      <w:pPr>
        <w:spacing w:after="0"/>
        <w:rPr>
          <w:rFonts w:ascii="Arial" w:hAnsi="Arial" w:cs="Arial"/>
          <w:b/>
          <w:bCs/>
          <w:sz w:val="24"/>
          <w:szCs w:val="24"/>
        </w:rPr>
      </w:pPr>
      <w:r>
        <w:rPr>
          <w:rFonts w:ascii="Arial" w:hAnsi="Arial" w:cs="Arial"/>
          <w:b/>
          <w:bCs/>
          <w:sz w:val="24"/>
          <w:szCs w:val="24"/>
        </w:rPr>
        <w:t>Adult Further Education – Outcome Based Success Measures</w:t>
      </w:r>
      <w:r w:rsidR="00181DA6" w:rsidRPr="00365CCD">
        <w:rPr>
          <w:rFonts w:ascii="Arial" w:hAnsi="Arial" w:cs="Arial"/>
          <w:b/>
          <w:bCs/>
          <w:sz w:val="24"/>
          <w:szCs w:val="24"/>
        </w:rPr>
        <w:br/>
      </w:r>
    </w:p>
    <w:p w:rsidR="00181DA6"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p w:rsidR="00A431D3" w:rsidRPr="000C2AEF" w:rsidRDefault="00A431D3" w:rsidP="00181DA6">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AA1534" w:rsidRDefault="00AA1534" w:rsidP="00602210">
            <w:pPr>
              <w:spacing w:after="0"/>
              <w:rPr>
                <w:rFonts w:ascii="Arial" w:hAnsi="Arial" w:cs="Arial"/>
                <w:sz w:val="24"/>
                <w:szCs w:val="24"/>
              </w:rPr>
            </w:pPr>
          </w:p>
          <w:p w:rsidR="001E33FC" w:rsidRDefault="001E33FC" w:rsidP="00602210">
            <w:pPr>
              <w:spacing w:after="0"/>
              <w:rPr>
                <w:rFonts w:ascii="Arial" w:hAnsi="Arial" w:cs="Arial"/>
                <w:sz w:val="24"/>
                <w:szCs w:val="24"/>
              </w:rPr>
            </w:pPr>
            <w:r>
              <w:rPr>
                <w:rFonts w:ascii="Arial" w:hAnsi="Arial" w:cs="Arial"/>
                <w:sz w:val="24"/>
                <w:szCs w:val="24"/>
              </w:rPr>
              <w:t>This paper is provided to introduce the concept of adult further education outcome based success measures and to initiate a discussion about what such measures might look like for Lancashire in a context of devolution.</w:t>
            </w:r>
          </w:p>
          <w:p w:rsidR="00A77A41" w:rsidRDefault="00A77A41" w:rsidP="00602210">
            <w:pPr>
              <w:spacing w:after="0"/>
              <w:rPr>
                <w:rFonts w:ascii="Arial" w:hAnsi="Arial" w:cs="Arial"/>
                <w:sz w:val="24"/>
                <w:szCs w:val="24"/>
              </w:rPr>
            </w:pPr>
          </w:p>
          <w:p w:rsidR="001E33FC" w:rsidRDefault="001E33FC" w:rsidP="00602210">
            <w:pPr>
              <w:spacing w:after="0"/>
              <w:rPr>
                <w:rFonts w:ascii="Arial" w:hAnsi="Arial" w:cs="Arial"/>
                <w:sz w:val="24"/>
                <w:szCs w:val="24"/>
              </w:rPr>
            </w:pPr>
            <w:r>
              <w:rPr>
                <w:rFonts w:ascii="Arial" w:hAnsi="Arial" w:cs="Arial"/>
                <w:sz w:val="24"/>
                <w:szCs w:val="24"/>
              </w:rPr>
              <w:t xml:space="preserve">Outcome measures are likely to include destination data (into employment, apprenticeships or further learning), progression within learning and earnings, in addition to measures of </w:t>
            </w:r>
            <w:r w:rsidR="005D364E">
              <w:rPr>
                <w:rFonts w:ascii="Arial" w:hAnsi="Arial" w:cs="Arial"/>
                <w:sz w:val="24"/>
                <w:szCs w:val="24"/>
              </w:rPr>
              <w:t>qualification achievement rates.</w:t>
            </w:r>
            <w:r>
              <w:rPr>
                <w:rFonts w:ascii="Arial" w:hAnsi="Arial" w:cs="Arial"/>
                <w:sz w:val="24"/>
                <w:szCs w:val="24"/>
              </w:rPr>
              <w:t xml:space="preserve">  Additional measures may also be required in local areas in which Adult Education budgets have been devolved.</w:t>
            </w:r>
          </w:p>
          <w:p w:rsidR="00A77A41" w:rsidRDefault="00A77A41" w:rsidP="00602210">
            <w:pPr>
              <w:spacing w:after="0"/>
              <w:rPr>
                <w:rFonts w:ascii="Arial" w:hAnsi="Arial" w:cs="Arial"/>
                <w:sz w:val="24"/>
                <w:szCs w:val="24"/>
              </w:rPr>
            </w:pPr>
          </w:p>
          <w:p w:rsidR="00181DA6" w:rsidRDefault="00181DA6" w:rsidP="00602210">
            <w:pPr>
              <w:spacing w:after="0"/>
              <w:rPr>
                <w:rFonts w:ascii="Arial" w:hAnsi="Arial" w:cs="Arial"/>
                <w:b/>
                <w:sz w:val="24"/>
                <w:szCs w:val="24"/>
              </w:rPr>
            </w:pPr>
            <w:r>
              <w:rPr>
                <w:rFonts w:ascii="Arial" w:hAnsi="Arial" w:cs="Arial"/>
                <w:b/>
                <w:sz w:val="24"/>
                <w:szCs w:val="24"/>
              </w:rPr>
              <w:t>Recommendation</w:t>
            </w:r>
            <w:r w:rsidR="007907F6">
              <w:rPr>
                <w:rFonts w:ascii="Arial" w:hAnsi="Arial" w:cs="Arial"/>
                <w:b/>
                <w:sz w:val="24"/>
                <w:szCs w:val="24"/>
              </w:rPr>
              <w:t>s</w:t>
            </w:r>
            <w:r>
              <w:rPr>
                <w:rFonts w:ascii="Arial" w:hAnsi="Arial" w:cs="Arial"/>
                <w:b/>
                <w:sz w:val="24"/>
                <w:szCs w:val="24"/>
              </w:rPr>
              <w:t xml:space="preserve"> </w:t>
            </w:r>
          </w:p>
          <w:p w:rsidR="00A77A41" w:rsidRPr="00A55247" w:rsidRDefault="00A77A41" w:rsidP="00602210">
            <w:pPr>
              <w:spacing w:after="0"/>
              <w:rPr>
                <w:rFonts w:ascii="Arial" w:hAnsi="Arial" w:cs="Arial"/>
                <w:b/>
                <w:sz w:val="24"/>
                <w:szCs w:val="24"/>
              </w:rPr>
            </w:pPr>
          </w:p>
          <w:p w:rsidR="001E33FC" w:rsidRPr="00A77A41" w:rsidRDefault="001E33FC" w:rsidP="00A77A41">
            <w:pPr>
              <w:pStyle w:val="ListParagraph"/>
              <w:numPr>
                <w:ilvl w:val="0"/>
                <w:numId w:val="33"/>
              </w:numPr>
              <w:spacing w:after="0"/>
              <w:ind w:left="360"/>
              <w:rPr>
                <w:rFonts w:ascii="Arial" w:hAnsi="Arial" w:cs="Arial"/>
                <w:sz w:val="24"/>
                <w:szCs w:val="24"/>
              </w:rPr>
            </w:pPr>
            <w:r w:rsidRPr="00A77A41">
              <w:rPr>
                <w:rFonts w:ascii="Arial" w:hAnsi="Arial" w:cs="Arial"/>
                <w:sz w:val="24"/>
                <w:szCs w:val="24"/>
              </w:rPr>
              <w:t xml:space="preserve">The </w:t>
            </w:r>
            <w:r w:rsidR="007907F6" w:rsidRPr="00A77A41">
              <w:rPr>
                <w:rFonts w:ascii="Arial" w:hAnsi="Arial" w:cs="Arial"/>
                <w:sz w:val="24"/>
                <w:szCs w:val="24"/>
              </w:rPr>
              <w:t>C</w:t>
            </w:r>
            <w:r w:rsidRPr="00A77A41">
              <w:rPr>
                <w:rFonts w:ascii="Arial" w:hAnsi="Arial" w:cs="Arial"/>
                <w:sz w:val="24"/>
                <w:szCs w:val="24"/>
              </w:rPr>
              <w:t>ommittee are asked to consider the content of the paper and contribute to a discussion a</w:t>
            </w:r>
            <w:r w:rsidR="00AA1534" w:rsidRPr="00A77A41">
              <w:rPr>
                <w:rFonts w:ascii="Arial" w:hAnsi="Arial" w:cs="Arial"/>
                <w:sz w:val="24"/>
                <w:szCs w:val="24"/>
              </w:rPr>
              <w:t>bout what outcome measures might</w:t>
            </w:r>
            <w:r w:rsidRPr="00A77A41">
              <w:rPr>
                <w:rFonts w:ascii="Arial" w:hAnsi="Arial" w:cs="Arial"/>
                <w:sz w:val="24"/>
                <w:szCs w:val="24"/>
              </w:rPr>
              <w:t xml:space="preserve"> look like in Lancashire – considering the proposed core data set and thoughts in regard to additional measures.</w:t>
            </w:r>
          </w:p>
          <w:p w:rsidR="00AA1534" w:rsidRPr="00AA1534" w:rsidRDefault="00AA1534" w:rsidP="00A77A41">
            <w:pPr>
              <w:pStyle w:val="ListParagraph"/>
              <w:spacing w:after="0"/>
              <w:ind w:left="0"/>
              <w:rPr>
                <w:rFonts w:ascii="Arial" w:hAnsi="Arial" w:cs="Arial"/>
                <w:sz w:val="24"/>
                <w:szCs w:val="24"/>
              </w:rPr>
            </w:pPr>
          </w:p>
          <w:p w:rsidR="00181DA6" w:rsidRPr="00A77A41" w:rsidRDefault="00AA1534" w:rsidP="00A77A41">
            <w:pPr>
              <w:pStyle w:val="ListParagraph"/>
              <w:numPr>
                <w:ilvl w:val="0"/>
                <w:numId w:val="33"/>
              </w:numPr>
              <w:spacing w:after="0"/>
              <w:ind w:left="360"/>
              <w:rPr>
                <w:rFonts w:ascii="Arial" w:hAnsi="Arial" w:cs="Arial"/>
                <w:sz w:val="24"/>
                <w:szCs w:val="24"/>
              </w:rPr>
            </w:pPr>
            <w:r w:rsidRPr="00A77A41">
              <w:rPr>
                <w:rFonts w:ascii="Arial" w:hAnsi="Arial" w:cs="Arial"/>
                <w:sz w:val="24"/>
                <w:szCs w:val="24"/>
              </w:rPr>
              <w:t xml:space="preserve">In particular, </w:t>
            </w:r>
            <w:r w:rsidR="001E33FC" w:rsidRPr="00A77A41">
              <w:rPr>
                <w:rFonts w:ascii="Arial" w:hAnsi="Arial" w:cs="Arial"/>
                <w:sz w:val="24"/>
                <w:szCs w:val="24"/>
              </w:rPr>
              <w:t xml:space="preserve">private sector members </w:t>
            </w:r>
            <w:r w:rsidR="007907F6" w:rsidRPr="00A77A41">
              <w:rPr>
                <w:rFonts w:ascii="Arial" w:hAnsi="Arial" w:cs="Arial"/>
                <w:sz w:val="24"/>
                <w:szCs w:val="24"/>
              </w:rPr>
              <w:t xml:space="preserve">of the Committee </w:t>
            </w:r>
            <w:r w:rsidR="001E33FC" w:rsidRPr="00A77A41">
              <w:rPr>
                <w:rFonts w:ascii="Arial" w:hAnsi="Arial" w:cs="Arial"/>
                <w:sz w:val="24"/>
                <w:szCs w:val="24"/>
              </w:rPr>
              <w:t>are asked to consider what information would be beneficial to employers, and how the public-private partnership through the LEP could help to drive up quality of provision</w:t>
            </w:r>
            <w:r w:rsidR="00F92CBB" w:rsidRPr="00A77A41">
              <w:rPr>
                <w:rFonts w:ascii="Arial" w:hAnsi="Arial" w:cs="Arial"/>
                <w:sz w:val="24"/>
                <w:szCs w:val="24"/>
              </w:rPr>
              <w:t xml:space="preserve"> and how well provision meets the needs of employers and the local economy.</w:t>
            </w:r>
          </w:p>
          <w:p w:rsidR="00A77A41" w:rsidRPr="00A55247" w:rsidRDefault="00A77A41" w:rsidP="00602210">
            <w:pPr>
              <w:pStyle w:val="ListParagraph"/>
              <w:numPr>
                <w:ilvl w:val="0"/>
                <w:numId w:val="32"/>
              </w:numPr>
              <w:spacing w:after="0"/>
              <w:ind w:left="0"/>
              <w:rPr>
                <w:rFonts w:ascii="Arial" w:hAnsi="Arial" w:cs="Arial"/>
                <w:sz w:val="24"/>
                <w:szCs w:val="24"/>
              </w:rPr>
            </w:pPr>
            <w:bookmarkStart w:id="0" w:name="_GoBack"/>
            <w:bookmarkEnd w:id="0"/>
          </w:p>
        </w:tc>
      </w:tr>
    </w:tbl>
    <w:p w:rsidR="00181DA6" w:rsidRDefault="00181DA6" w:rsidP="00181DA6">
      <w:pPr>
        <w:rPr>
          <w:rFonts w:ascii="Arial" w:hAnsi="Arial" w:cs="Arial"/>
          <w:sz w:val="24"/>
          <w:szCs w:val="24"/>
        </w:rPr>
      </w:pPr>
    </w:p>
    <w:p w:rsidR="00AA1534" w:rsidRDefault="00AA1534" w:rsidP="00181DA6">
      <w:pPr>
        <w:rPr>
          <w:rFonts w:ascii="Arial" w:hAnsi="Arial" w:cs="Arial"/>
          <w:sz w:val="24"/>
          <w:szCs w:val="24"/>
        </w:rPr>
      </w:pPr>
    </w:p>
    <w:p w:rsidR="00AA1534" w:rsidRDefault="00AA1534" w:rsidP="00181DA6">
      <w:pPr>
        <w:rPr>
          <w:rFonts w:ascii="Arial" w:hAnsi="Arial" w:cs="Arial"/>
          <w:sz w:val="24"/>
          <w:szCs w:val="24"/>
        </w:rPr>
      </w:pPr>
    </w:p>
    <w:p w:rsidR="00D07EDD" w:rsidRPr="00D07EDD" w:rsidRDefault="00D07EDD" w:rsidP="00D07EDD">
      <w:pPr>
        <w:pStyle w:val="ListParagraph"/>
        <w:numPr>
          <w:ilvl w:val="0"/>
          <w:numId w:val="30"/>
        </w:numPr>
        <w:rPr>
          <w:rFonts w:ascii="Arial" w:hAnsi="Arial" w:cs="Arial"/>
          <w:b/>
          <w:sz w:val="24"/>
          <w:szCs w:val="24"/>
        </w:rPr>
      </w:pPr>
      <w:r w:rsidRPr="00D07EDD">
        <w:rPr>
          <w:rFonts w:ascii="Arial" w:hAnsi="Arial" w:cs="Arial"/>
          <w:b/>
          <w:sz w:val="24"/>
          <w:szCs w:val="24"/>
        </w:rPr>
        <w:t>Background Information</w:t>
      </w:r>
    </w:p>
    <w:p w:rsidR="00D07EDD" w:rsidRDefault="00D07EDD" w:rsidP="00D07EDD">
      <w:pPr>
        <w:pStyle w:val="ListParagraph"/>
        <w:ind w:left="1080"/>
        <w:rPr>
          <w:rFonts w:ascii="Arial" w:hAnsi="Arial" w:cs="Arial"/>
          <w:sz w:val="24"/>
          <w:szCs w:val="24"/>
        </w:rPr>
      </w:pPr>
    </w:p>
    <w:p w:rsidR="006C526B" w:rsidRDefault="00D07EDD" w:rsidP="00D07EDD">
      <w:pPr>
        <w:pStyle w:val="ListParagraph"/>
        <w:numPr>
          <w:ilvl w:val="1"/>
          <w:numId w:val="30"/>
        </w:numPr>
        <w:rPr>
          <w:rFonts w:ascii="Arial" w:hAnsi="Arial" w:cs="Arial"/>
          <w:sz w:val="24"/>
          <w:szCs w:val="24"/>
        </w:rPr>
      </w:pPr>
      <w:r w:rsidRPr="00D07EDD">
        <w:rPr>
          <w:rFonts w:ascii="Arial" w:hAnsi="Arial" w:cs="Arial"/>
          <w:sz w:val="24"/>
          <w:szCs w:val="24"/>
        </w:rPr>
        <w:t>The concept of outcome based success measures for adult</w:t>
      </w:r>
      <w:r>
        <w:rPr>
          <w:rFonts w:ascii="Arial" w:hAnsi="Arial" w:cs="Arial"/>
          <w:sz w:val="24"/>
          <w:szCs w:val="24"/>
        </w:rPr>
        <w:t xml:space="preserve"> further</w:t>
      </w:r>
      <w:r w:rsidRPr="00D07EDD">
        <w:rPr>
          <w:rFonts w:ascii="Arial" w:hAnsi="Arial" w:cs="Arial"/>
          <w:sz w:val="24"/>
          <w:szCs w:val="24"/>
        </w:rPr>
        <w:t xml:space="preserve"> educ</w:t>
      </w:r>
      <w:r w:rsidR="008938F9">
        <w:rPr>
          <w:rFonts w:ascii="Arial" w:hAnsi="Arial" w:cs="Arial"/>
          <w:sz w:val="24"/>
          <w:szCs w:val="24"/>
        </w:rPr>
        <w:t>ation was introduced in August</w:t>
      </w:r>
      <w:r w:rsidRPr="00D07EDD">
        <w:rPr>
          <w:rFonts w:ascii="Arial" w:hAnsi="Arial" w:cs="Arial"/>
          <w:sz w:val="24"/>
          <w:szCs w:val="24"/>
        </w:rPr>
        <w:t xml:space="preserve"> 2014 with an initial consultation.  The outcome measures complement the qualification achievement measures already in place and cover:</w:t>
      </w:r>
    </w:p>
    <w:p w:rsidR="00D07EDD" w:rsidRPr="00D07EDD" w:rsidRDefault="00D07EDD" w:rsidP="00D07EDD">
      <w:pPr>
        <w:pStyle w:val="ListParagraph"/>
        <w:ind w:left="1080"/>
        <w:rPr>
          <w:rFonts w:ascii="Arial" w:hAnsi="Arial" w:cs="Arial"/>
          <w:sz w:val="24"/>
          <w:szCs w:val="24"/>
        </w:rPr>
      </w:pPr>
    </w:p>
    <w:p w:rsidR="00D07EDD" w:rsidRDefault="00D07EDD" w:rsidP="00D07EDD">
      <w:pPr>
        <w:pStyle w:val="ListParagraph"/>
        <w:numPr>
          <w:ilvl w:val="0"/>
          <w:numId w:val="29"/>
        </w:numPr>
        <w:rPr>
          <w:rFonts w:ascii="Arial" w:hAnsi="Arial" w:cs="Arial"/>
          <w:sz w:val="24"/>
          <w:szCs w:val="24"/>
        </w:rPr>
      </w:pPr>
      <w:r>
        <w:rPr>
          <w:rFonts w:ascii="Arial" w:hAnsi="Arial" w:cs="Arial"/>
          <w:sz w:val="24"/>
          <w:szCs w:val="24"/>
        </w:rPr>
        <w:t xml:space="preserve">Destinations (into employment, apprenticeship or further learning); </w:t>
      </w:r>
    </w:p>
    <w:p w:rsidR="00D07EDD" w:rsidRDefault="00D07EDD" w:rsidP="00D07EDD">
      <w:pPr>
        <w:pStyle w:val="ListParagraph"/>
        <w:numPr>
          <w:ilvl w:val="0"/>
          <w:numId w:val="29"/>
        </w:numPr>
        <w:rPr>
          <w:rFonts w:ascii="Arial" w:hAnsi="Arial" w:cs="Arial"/>
          <w:sz w:val="24"/>
          <w:szCs w:val="24"/>
        </w:rPr>
      </w:pPr>
      <w:r>
        <w:rPr>
          <w:rFonts w:ascii="Arial" w:hAnsi="Arial" w:cs="Arial"/>
          <w:sz w:val="24"/>
          <w:szCs w:val="24"/>
        </w:rPr>
        <w:t>Progression within learning; and</w:t>
      </w:r>
    </w:p>
    <w:p w:rsidR="00D07EDD" w:rsidRDefault="00D07EDD" w:rsidP="00D07EDD">
      <w:pPr>
        <w:pStyle w:val="ListParagraph"/>
        <w:numPr>
          <w:ilvl w:val="0"/>
          <w:numId w:val="29"/>
        </w:numPr>
        <w:rPr>
          <w:rFonts w:ascii="Arial" w:hAnsi="Arial" w:cs="Arial"/>
          <w:sz w:val="24"/>
          <w:szCs w:val="24"/>
        </w:rPr>
      </w:pPr>
      <w:r>
        <w:rPr>
          <w:rFonts w:ascii="Arial" w:hAnsi="Arial" w:cs="Arial"/>
          <w:sz w:val="24"/>
          <w:szCs w:val="24"/>
        </w:rPr>
        <w:t>Earnings.</w:t>
      </w:r>
    </w:p>
    <w:p w:rsidR="00D07EDD" w:rsidRDefault="00D07EDD" w:rsidP="00D07EDD">
      <w:pPr>
        <w:pStyle w:val="ListParagraph"/>
        <w:ind w:left="2160"/>
        <w:rPr>
          <w:rFonts w:ascii="Arial" w:hAnsi="Arial" w:cs="Arial"/>
          <w:sz w:val="24"/>
          <w:szCs w:val="24"/>
        </w:rPr>
      </w:pPr>
    </w:p>
    <w:p w:rsidR="00D07EDD" w:rsidRDefault="00D07EDD" w:rsidP="00D07EDD">
      <w:pPr>
        <w:pStyle w:val="ListParagraph"/>
        <w:numPr>
          <w:ilvl w:val="1"/>
          <w:numId w:val="30"/>
        </w:numPr>
        <w:rPr>
          <w:rFonts w:ascii="Arial" w:hAnsi="Arial" w:cs="Arial"/>
          <w:sz w:val="24"/>
          <w:szCs w:val="24"/>
        </w:rPr>
      </w:pPr>
      <w:r w:rsidRPr="00D07EDD">
        <w:rPr>
          <w:rFonts w:ascii="Arial" w:hAnsi="Arial" w:cs="Arial"/>
          <w:sz w:val="24"/>
          <w:szCs w:val="24"/>
        </w:rPr>
        <w:t>The new information will give prospective learners better information about vocational qualifications and about the performance of colleges and other providers to help them make informed decisions about what and where to study (such data is already contained in university and college higher education 'key information sets' (KIS data) provided by unistats</w:t>
      </w:r>
      <w:r w:rsidR="004064BE">
        <w:rPr>
          <w:rFonts w:ascii="Arial" w:hAnsi="Arial" w:cs="Arial"/>
          <w:sz w:val="24"/>
          <w:szCs w:val="24"/>
        </w:rPr>
        <w:t xml:space="preserve"> to help prospective students compare and assess options</w:t>
      </w:r>
      <w:r w:rsidRPr="00D07EDD">
        <w:rPr>
          <w:rFonts w:ascii="Arial" w:hAnsi="Arial" w:cs="Arial"/>
          <w:sz w:val="24"/>
          <w:szCs w:val="24"/>
        </w:rPr>
        <w:t>).</w:t>
      </w:r>
    </w:p>
    <w:p w:rsidR="00ED05B4" w:rsidRDefault="00ED05B4" w:rsidP="00ED05B4">
      <w:pPr>
        <w:pStyle w:val="ListParagraph"/>
        <w:ind w:left="1080"/>
        <w:rPr>
          <w:rFonts w:ascii="Arial" w:hAnsi="Arial" w:cs="Arial"/>
          <w:sz w:val="24"/>
          <w:szCs w:val="24"/>
        </w:rPr>
      </w:pPr>
    </w:p>
    <w:p w:rsidR="00E74B9D" w:rsidRDefault="00E74B9D" w:rsidP="00D07EDD">
      <w:pPr>
        <w:pStyle w:val="ListParagraph"/>
        <w:numPr>
          <w:ilvl w:val="1"/>
          <w:numId w:val="30"/>
        </w:numPr>
        <w:rPr>
          <w:rFonts w:ascii="Arial" w:hAnsi="Arial" w:cs="Arial"/>
          <w:sz w:val="24"/>
          <w:szCs w:val="24"/>
        </w:rPr>
      </w:pPr>
      <w:r>
        <w:rPr>
          <w:rFonts w:ascii="Arial" w:hAnsi="Arial" w:cs="Arial"/>
          <w:sz w:val="24"/>
          <w:szCs w:val="24"/>
        </w:rPr>
        <w:t>In addition, the information will contribute to driving up high quality po</w:t>
      </w:r>
      <w:r w:rsidR="005D364E">
        <w:rPr>
          <w:rFonts w:ascii="Arial" w:hAnsi="Arial" w:cs="Arial"/>
          <w:sz w:val="24"/>
          <w:szCs w:val="24"/>
        </w:rPr>
        <w:t>st-19 education and training by</w:t>
      </w:r>
      <w:r>
        <w:rPr>
          <w:rFonts w:ascii="Arial" w:hAnsi="Arial" w:cs="Arial"/>
          <w:sz w:val="24"/>
          <w:szCs w:val="24"/>
        </w:rPr>
        <w:t xml:space="preserve"> ensuring that skills provision aligns with the needs of employers and individuals and is value for money.  It is thought that this will happen in a number of ways:</w:t>
      </w:r>
    </w:p>
    <w:p w:rsidR="00E74B9D" w:rsidRDefault="00E74B9D" w:rsidP="00E74B9D">
      <w:pPr>
        <w:pStyle w:val="ListParagraph"/>
        <w:ind w:left="1080"/>
        <w:rPr>
          <w:rFonts w:ascii="Arial" w:hAnsi="Arial" w:cs="Arial"/>
          <w:sz w:val="24"/>
          <w:szCs w:val="24"/>
        </w:rPr>
      </w:pPr>
    </w:p>
    <w:p w:rsidR="00E74B9D" w:rsidRDefault="00E74B9D" w:rsidP="00E74B9D">
      <w:pPr>
        <w:pStyle w:val="ListParagraph"/>
        <w:numPr>
          <w:ilvl w:val="0"/>
          <w:numId w:val="29"/>
        </w:numPr>
        <w:rPr>
          <w:rFonts w:ascii="Arial" w:hAnsi="Arial" w:cs="Arial"/>
          <w:sz w:val="24"/>
          <w:szCs w:val="24"/>
        </w:rPr>
      </w:pPr>
      <w:r>
        <w:rPr>
          <w:rFonts w:ascii="Arial" w:hAnsi="Arial" w:cs="Arial"/>
          <w:sz w:val="24"/>
          <w:szCs w:val="24"/>
        </w:rPr>
        <w:t>Informing performance management of the providers to ensure that poor performance is swiftly dealt with, protecting the interests of learners, employers and the tax payer;</w:t>
      </w:r>
    </w:p>
    <w:p w:rsidR="00E74B9D" w:rsidRDefault="00E74B9D" w:rsidP="00E74B9D">
      <w:pPr>
        <w:pStyle w:val="ListParagraph"/>
        <w:numPr>
          <w:ilvl w:val="0"/>
          <w:numId w:val="29"/>
        </w:numPr>
        <w:rPr>
          <w:rFonts w:ascii="Arial" w:hAnsi="Arial" w:cs="Arial"/>
          <w:sz w:val="24"/>
          <w:szCs w:val="24"/>
        </w:rPr>
      </w:pPr>
      <w:r>
        <w:rPr>
          <w:rFonts w:ascii="Arial" w:hAnsi="Arial" w:cs="Arial"/>
          <w:sz w:val="24"/>
          <w:szCs w:val="24"/>
        </w:rPr>
        <w:t>Improving the usefulness and relevance of provision by giving providers mores information to help in self-improvement and curriculum planning;</w:t>
      </w:r>
    </w:p>
    <w:p w:rsidR="00E74B9D" w:rsidRDefault="00E74B9D" w:rsidP="00E74B9D">
      <w:pPr>
        <w:pStyle w:val="ListParagraph"/>
        <w:numPr>
          <w:ilvl w:val="0"/>
          <w:numId w:val="29"/>
        </w:numPr>
        <w:rPr>
          <w:rFonts w:ascii="Arial" w:hAnsi="Arial" w:cs="Arial"/>
          <w:sz w:val="24"/>
          <w:szCs w:val="24"/>
        </w:rPr>
      </w:pPr>
      <w:r>
        <w:rPr>
          <w:rFonts w:ascii="Arial" w:hAnsi="Arial" w:cs="Arial"/>
          <w:sz w:val="24"/>
          <w:szCs w:val="24"/>
        </w:rPr>
        <w:t>Giving wider information to customers on the impact teaching and learning and different qualifications have on learners, business and communities; and</w:t>
      </w:r>
    </w:p>
    <w:p w:rsidR="00E74B9D" w:rsidRDefault="00E74B9D" w:rsidP="00E74B9D">
      <w:pPr>
        <w:pStyle w:val="ListParagraph"/>
        <w:numPr>
          <w:ilvl w:val="0"/>
          <w:numId w:val="29"/>
        </w:numPr>
        <w:rPr>
          <w:rFonts w:ascii="Arial" w:hAnsi="Arial" w:cs="Arial"/>
          <w:sz w:val="24"/>
          <w:szCs w:val="24"/>
        </w:rPr>
      </w:pPr>
      <w:r>
        <w:rPr>
          <w:rFonts w:ascii="Arial" w:hAnsi="Arial" w:cs="Arial"/>
          <w:sz w:val="24"/>
          <w:szCs w:val="24"/>
        </w:rPr>
        <w:t>Enabling learners and employers to make more informed choice about where and how they invest public, and increasingly their own, money.</w:t>
      </w:r>
    </w:p>
    <w:p w:rsidR="00E74B9D" w:rsidRDefault="00E74B9D" w:rsidP="00E74B9D">
      <w:pPr>
        <w:pStyle w:val="ListParagraph"/>
        <w:ind w:left="1080"/>
        <w:rPr>
          <w:rFonts w:ascii="Arial" w:hAnsi="Arial" w:cs="Arial"/>
          <w:sz w:val="24"/>
          <w:szCs w:val="24"/>
        </w:rPr>
      </w:pPr>
    </w:p>
    <w:p w:rsidR="00E74B9D" w:rsidRDefault="007E649F" w:rsidP="00E74B9D">
      <w:pPr>
        <w:pStyle w:val="ListParagraph"/>
        <w:numPr>
          <w:ilvl w:val="1"/>
          <w:numId w:val="30"/>
        </w:numPr>
        <w:rPr>
          <w:rFonts w:ascii="Arial" w:hAnsi="Arial" w:cs="Arial"/>
          <w:sz w:val="24"/>
          <w:szCs w:val="24"/>
        </w:rPr>
      </w:pPr>
      <w:r>
        <w:rPr>
          <w:rFonts w:ascii="Arial" w:hAnsi="Arial" w:cs="Arial"/>
          <w:sz w:val="24"/>
          <w:szCs w:val="24"/>
        </w:rPr>
        <w:t>A 'widget' is proposed which will display the data on providers' websites and FE performance tables focussed on apprenticeships and higher level learning.</w:t>
      </w:r>
    </w:p>
    <w:p w:rsidR="00247A64" w:rsidRDefault="00247A64" w:rsidP="00247A64">
      <w:pPr>
        <w:pStyle w:val="ListParagraph"/>
        <w:ind w:left="1080"/>
        <w:rPr>
          <w:rFonts w:ascii="Arial" w:hAnsi="Arial" w:cs="Arial"/>
          <w:sz w:val="24"/>
          <w:szCs w:val="24"/>
        </w:rPr>
      </w:pPr>
    </w:p>
    <w:p w:rsidR="00247A64" w:rsidRPr="00E74B9D" w:rsidRDefault="00247A64" w:rsidP="00247A64">
      <w:pPr>
        <w:pStyle w:val="ListParagraph"/>
        <w:numPr>
          <w:ilvl w:val="1"/>
          <w:numId w:val="30"/>
        </w:numPr>
        <w:rPr>
          <w:rFonts w:ascii="Arial" w:hAnsi="Arial" w:cs="Arial"/>
          <w:sz w:val="24"/>
          <w:szCs w:val="24"/>
        </w:rPr>
      </w:pPr>
      <w:r w:rsidRPr="00247A64">
        <w:rPr>
          <w:rFonts w:ascii="Arial" w:hAnsi="Arial" w:cs="Arial"/>
          <w:sz w:val="24"/>
          <w:szCs w:val="24"/>
        </w:rPr>
        <w:t xml:space="preserve">A further consultation was undertaken in the latter stages of 2015.  The full consultation document can be viewed here: </w:t>
      </w:r>
      <w:hyperlink r:id="rId10" w:history="1">
        <w:r w:rsidRPr="009D674F">
          <w:rPr>
            <w:rStyle w:val="Hyperlink"/>
            <w:rFonts w:ascii="Arial" w:hAnsi="Arial" w:cs="Arial"/>
            <w:sz w:val="24"/>
            <w:szCs w:val="24"/>
          </w:rPr>
          <w:t>https://www.gov.uk/government/consultations/adult-further-education-</w:t>
        </w:r>
        <w:r w:rsidRPr="009D674F">
          <w:rPr>
            <w:rStyle w:val="Hyperlink"/>
            <w:rFonts w:ascii="Arial" w:hAnsi="Arial" w:cs="Arial"/>
            <w:sz w:val="24"/>
            <w:szCs w:val="24"/>
          </w:rPr>
          <w:lastRenderedPageBreak/>
          <w:t>measuring-success-detailed-proposals</w:t>
        </w:r>
      </w:hyperlink>
      <w:r>
        <w:rPr>
          <w:rFonts w:ascii="Arial" w:hAnsi="Arial" w:cs="Arial"/>
          <w:sz w:val="24"/>
          <w:szCs w:val="24"/>
        </w:rPr>
        <w:t xml:space="preserve"> .  The Government's response is due to be published ('early 2016' on the timetable in the document).</w:t>
      </w:r>
    </w:p>
    <w:p w:rsidR="008138C5" w:rsidRPr="008138C5" w:rsidRDefault="008138C5" w:rsidP="008138C5">
      <w:pPr>
        <w:pStyle w:val="ListParagraph"/>
        <w:rPr>
          <w:rFonts w:ascii="Arial" w:hAnsi="Arial" w:cs="Arial"/>
          <w:sz w:val="24"/>
          <w:szCs w:val="24"/>
        </w:rPr>
      </w:pPr>
    </w:p>
    <w:p w:rsidR="008138C5" w:rsidRPr="008138C5" w:rsidRDefault="008138C5" w:rsidP="008138C5">
      <w:pPr>
        <w:pStyle w:val="ListParagraph"/>
        <w:numPr>
          <w:ilvl w:val="0"/>
          <w:numId w:val="30"/>
        </w:numPr>
        <w:rPr>
          <w:rFonts w:ascii="Arial" w:hAnsi="Arial" w:cs="Arial"/>
          <w:b/>
          <w:sz w:val="24"/>
          <w:szCs w:val="24"/>
        </w:rPr>
      </w:pPr>
      <w:r w:rsidRPr="008138C5">
        <w:rPr>
          <w:rFonts w:ascii="Arial" w:hAnsi="Arial" w:cs="Arial"/>
          <w:b/>
          <w:sz w:val="24"/>
          <w:szCs w:val="24"/>
        </w:rPr>
        <w:t>Implications for LEPs</w:t>
      </w:r>
      <w:r w:rsidR="00247A64">
        <w:rPr>
          <w:rFonts w:ascii="Arial" w:hAnsi="Arial" w:cs="Arial"/>
          <w:b/>
          <w:sz w:val="24"/>
          <w:szCs w:val="24"/>
        </w:rPr>
        <w:t xml:space="preserve"> &amp; Local Authorities</w:t>
      </w:r>
    </w:p>
    <w:p w:rsidR="007E649F" w:rsidRDefault="007E649F" w:rsidP="007E649F">
      <w:pPr>
        <w:pStyle w:val="ListParagraph"/>
        <w:ind w:left="1080"/>
        <w:rPr>
          <w:rFonts w:ascii="Arial" w:hAnsi="Arial" w:cs="Arial"/>
          <w:sz w:val="24"/>
          <w:szCs w:val="24"/>
        </w:rPr>
      </w:pPr>
      <w:r>
        <w:rPr>
          <w:rFonts w:ascii="Arial" w:hAnsi="Arial" w:cs="Arial"/>
          <w:sz w:val="24"/>
          <w:szCs w:val="24"/>
        </w:rPr>
        <w:t xml:space="preserve"> </w:t>
      </w:r>
    </w:p>
    <w:p w:rsidR="00B716DD" w:rsidRDefault="008138C5" w:rsidP="00D07EDD">
      <w:pPr>
        <w:pStyle w:val="ListParagraph"/>
        <w:numPr>
          <w:ilvl w:val="1"/>
          <w:numId w:val="30"/>
        </w:numPr>
        <w:rPr>
          <w:rFonts w:ascii="Arial" w:hAnsi="Arial" w:cs="Arial"/>
          <w:sz w:val="24"/>
          <w:szCs w:val="24"/>
        </w:rPr>
      </w:pPr>
      <w:r>
        <w:rPr>
          <w:rFonts w:ascii="Arial" w:hAnsi="Arial" w:cs="Arial"/>
          <w:sz w:val="24"/>
          <w:szCs w:val="24"/>
        </w:rPr>
        <w:t xml:space="preserve">It is </w:t>
      </w:r>
      <w:r w:rsidR="00B716DD">
        <w:rPr>
          <w:rFonts w:ascii="Arial" w:hAnsi="Arial" w:cs="Arial"/>
          <w:sz w:val="24"/>
          <w:szCs w:val="24"/>
        </w:rPr>
        <w:t xml:space="preserve">thought that the data will give LEPs (and providers themselves) better data on the performance on individual providers and how they compare with similar providers.  </w:t>
      </w:r>
    </w:p>
    <w:p w:rsidR="00B716DD" w:rsidRDefault="00B716DD" w:rsidP="00B716DD">
      <w:pPr>
        <w:pStyle w:val="ListParagraph"/>
        <w:ind w:left="1080"/>
        <w:rPr>
          <w:rFonts w:ascii="Arial" w:hAnsi="Arial" w:cs="Arial"/>
          <w:sz w:val="24"/>
          <w:szCs w:val="24"/>
        </w:rPr>
      </w:pPr>
    </w:p>
    <w:p w:rsidR="00B716DD" w:rsidRDefault="007B118F" w:rsidP="00D07EDD">
      <w:pPr>
        <w:pStyle w:val="ListParagraph"/>
        <w:numPr>
          <w:ilvl w:val="1"/>
          <w:numId w:val="30"/>
        </w:numPr>
        <w:rPr>
          <w:rFonts w:ascii="Arial" w:hAnsi="Arial" w:cs="Arial"/>
          <w:sz w:val="24"/>
          <w:szCs w:val="24"/>
        </w:rPr>
      </w:pPr>
      <w:r>
        <w:rPr>
          <w:rFonts w:ascii="Arial" w:hAnsi="Arial" w:cs="Arial"/>
          <w:sz w:val="24"/>
          <w:szCs w:val="24"/>
        </w:rPr>
        <w:t>It is likely that Adult Education budgets will be</w:t>
      </w:r>
      <w:r w:rsidR="00B716DD">
        <w:rPr>
          <w:rFonts w:ascii="Arial" w:hAnsi="Arial" w:cs="Arial"/>
          <w:sz w:val="24"/>
          <w:szCs w:val="24"/>
        </w:rPr>
        <w:t xml:space="preserve"> devolved to local areas.</w:t>
      </w:r>
      <w:r w:rsidR="00F37AA2">
        <w:rPr>
          <w:rFonts w:ascii="Arial" w:hAnsi="Arial" w:cs="Arial"/>
          <w:sz w:val="24"/>
          <w:szCs w:val="24"/>
        </w:rPr>
        <w:t xml:space="preserve">  </w:t>
      </w:r>
      <w:r w:rsidR="00F37AA2" w:rsidRPr="00F37AA2">
        <w:rPr>
          <w:rFonts w:ascii="Arial" w:hAnsi="Arial" w:cs="Arial"/>
          <w:sz w:val="24"/>
          <w:szCs w:val="24"/>
        </w:rPr>
        <w:t>The Adult Education budget will bring together the Adult Skills budget (all non-apprenticeship funds), the Adult Community Learning budget and Discretionary Learner Funding</w:t>
      </w:r>
      <w:r w:rsidR="00F37AA2">
        <w:rPr>
          <w:rFonts w:ascii="Arial" w:hAnsi="Arial" w:cs="Arial"/>
          <w:sz w:val="24"/>
          <w:szCs w:val="24"/>
        </w:rPr>
        <w:t>, as detailed in the draft devolution skills and employment</w:t>
      </w:r>
      <w:r w:rsidR="008938F9">
        <w:rPr>
          <w:rFonts w:ascii="Arial" w:hAnsi="Arial" w:cs="Arial"/>
          <w:sz w:val="24"/>
          <w:szCs w:val="24"/>
        </w:rPr>
        <w:t xml:space="preserve"> paper.</w:t>
      </w:r>
    </w:p>
    <w:p w:rsidR="007B118F" w:rsidRPr="007B118F" w:rsidRDefault="007B118F" w:rsidP="007B118F">
      <w:pPr>
        <w:pStyle w:val="ListParagraph"/>
        <w:rPr>
          <w:rFonts w:ascii="Arial" w:hAnsi="Arial" w:cs="Arial"/>
          <w:sz w:val="24"/>
          <w:szCs w:val="24"/>
        </w:rPr>
      </w:pPr>
    </w:p>
    <w:p w:rsidR="007B118F" w:rsidRDefault="007B118F" w:rsidP="00D07EDD">
      <w:pPr>
        <w:pStyle w:val="ListParagraph"/>
        <w:numPr>
          <w:ilvl w:val="1"/>
          <w:numId w:val="30"/>
        </w:numPr>
        <w:rPr>
          <w:rFonts w:ascii="Arial" w:hAnsi="Arial" w:cs="Arial"/>
          <w:sz w:val="24"/>
          <w:szCs w:val="24"/>
        </w:rPr>
      </w:pPr>
      <w:r>
        <w:rPr>
          <w:rFonts w:ascii="Arial" w:hAnsi="Arial" w:cs="Arial"/>
          <w:sz w:val="24"/>
          <w:szCs w:val="24"/>
        </w:rPr>
        <w:t>It is intended that the measures will play a key role in helping local commissioners assess quality.  It is proposed that agreements between LEPs, local authorities and providers will be underpinned by local outcome agreements by setting out roles, responsibilities and expectations of the parties involved.</w:t>
      </w:r>
    </w:p>
    <w:p w:rsidR="00247A64" w:rsidRPr="00247A64" w:rsidRDefault="00247A64" w:rsidP="00247A64">
      <w:pPr>
        <w:pStyle w:val="ListParagraph"/>
        <w:rPr>
          <w:rFonts w:ascii="Arial" w:hAnsi="Arial" w:cs="Arial"/>
          <w:sz w:val="24"/>
          <w:szCs w:val="24"/>
        </w:rPr>
      </w:pPr>
    </w:p>
    <w:p w:rsidR="00247A64" w:rsidRDefault="00247A64" w:rsidP="00247A64">
      <w:pPr>
        <w:pStyle w:val="ListParagraph"/>
        <w:numPr>
          <w:ilvl w:val="1"/>
          <w:numId w:val="30"/>
        </w:numPr>
        <w:rPr>
          <w:rFonts w:ascii="Arial" w:hAnsi="Arial" w:cs="Arial"/>
          <w:sz w:val="24"/>
          <w:szCs w:val="24"/>
        </w:rPr>
      </w:pPr>
      <w:r>
        <w:rPr>
          <w:rFonts w:ascii="Arial" w:hAnsi="Arial" w:cs="Arial"/>
          <w:sz w:val="24"/>
          <w:szCs w:val="24"/>
        </w:rPr>
        <w:t>It is also suggests that local devolution may deliver different outcomes in different areas, and that each areas will have its own priorities.  Some of the measures on which impact is monitored will therefore also differ.  However, there will be a need for a core set of measures used in all cases to allow comparison and benchmarking between areas and providers.</w:t>
      </w:r>
    </w:p>
    <w:p w:rsidR="00247A64" w:rsidRPr="001E33FC" w:rsidRDefault="00247A64" w:rsidP="00247A64">
      <w:pPr>
        <w:pStyle w:val="ListParagraph"/>
        <w:rPr>
          <w:rFonts w:ascii="Arial" w:hAnsi="Arial" w:cs="Arial"/>
          <w:b/>
          <w:sz w:val="24"/>
          <w:szCs w:val="24"/>
        </w:rPr>
      </w:pPr>
    </w:p>
    <w:p w:rsidR="006C526B" w:rsidRDefault="00247A64" w:rsidP="00247A64">
      <w:pPr>
        <w:pStyle w:val="ListParagraph"/>
        <w:numPr>
          <w:ilvl w:val="0"/>
          <w:numId w:val="30"/>
        </w:numPr>
        <w:rPr>
          <w:rFonts w:ascii="Arial" w:hAnsi="Arial" w:cs="Arial"/>
          <w:b/>
          <w:sz w:val="24"/>
          <w:szCs w:val="24"/>
        </w:rPr>
      </w:pPr>
      <w:r w:rsidRPr="001E33FC">
        <w:rPr>
          <w:rFonts w:ascii="Arial" w:hAnsi="Arial" w:cs="Arial"/>
          <w:b/>
          <w:sz w:val="24"/>
          <w:szCs w:val="24"/>
        </w:rPr>
        <w:t>Recommendations</w:t>
      </w:r>
    </w:p>
    <w:p w:rsidR="00ED05B4" w:rsidRDefault="00ED05B4" w:rsidP="00ED05B4">
      <w:pPr>
        <w:pStyle w:val="ListParagraph"/>
        <w:rPr>
          <w:rFonts w:ascii="Arial" w:hAnsi="Arial" w:cs="Arial"/>
          <w:b/>
          <w:sz w:val="24"/>
          <w:szCs w:val="24"/>
        </w:rPr>
      </w:pPr>
    </w:p>
    <w:p w:rsidR="00ED05B4" w:rsidRPr="00ED05B4" w:rsidRDefault="00ED05B4" w:rsidP="00ED05B4">
      <w:pPr>
        <w:pStyle w:val="ListParagraph"/>
        <w:numPr>
          <w:ilvl w:val="1"/>
          <w:numId w:val="30"/>
        </w:numPr>
        <w:rPr>
          <w:rFonts w:ascii="Arial" w:hAnsi="Arial" w:cs="Arial"/>
          <w:sz w:val="24"/>
          <w:szCs w:val="24"/>
        </w:rPr>
      </w:pPr>
      <w:r w:rsidRPr="00ED05B4">
        <w:rPr>
          <w:rFonts w:ascii="Arial" w:hAnsi="Arial" w:cs="Arial"/>
          <w:sz w:val="24"/>
          <w:szCs w:val="24"/>
        </w:rPr>
        <w:t>The committee are asked to consider the content of the paper and contribute to a discussion about what outcome measures might look like in Lancashire – considering the proposed core data set and thoughts in regard to additional measures.</w:t>
      </w:r>
    </w:p>
    <w:p w:rsidR="00ED05B4" w:rsidRPr="00ED05B4" w:rsidRDefault="00ED05B4" w:rsidP="00ED05B4">
      <w:pPr>
        <w:pStyle w:val="ListParagraph"/>
        <w:ind w:left="1080"/>
        <w:rPr>
          <w:rFonts w:ascii="Arial" w:hAnsi="Arial" w:cs="Arial"/>
          <w:sz w:val="24"/>
          <w:szCs w:val="24"/>
        </w:rPr>
      </w:pPr>
    </w:p>
    <w:p w:rsidR="00ED05B4" w:rsidRPr="00ED05B4" w:rsidRDefault="00ED05B4" w:rsidP="00ED05B4">
      <w:pPr>
        <w:pStyle w:val="ListParagraph"/>
        <w:numPr>
          <w:ilvl w:val="1"/>
          <w:numId w:val="30"/>
        </w:numPr>
        <w:rPr>
          <w:rFonts w:ascii="Arial" w:hAnsi="Arial" w:cs="Arial"/>
          <w:sz w:val="24"/>
          <w:szCs w:val="24"/>
        </w:rPr>
      </w:pPr>
      <w:r w:rsidRPr="00ED05B4">
        <w:rPr>
          <w:rFonts w:ascii="Arial" w:hAnsi="Arial" w:cs="Arial"/>
          <w:sz w:val="24"/>
          <w:szCs w:val="24"/>
        </w:rPr>
        <w:t xml:space="preserve">In particular, our private sector members are asked to consider what information would be beneficial to employers, and how the public-private partnership through the LEP could help to drive up </w:t>
      </w:r>
      <w:r w:rsidR="008D7950">
        <w:rPr>
          <w:rFonts w:ascii="Arial" w:hAnsi="Arial" w:cs="Arial"/>
          <w:sz w:val="24"/>
          <w:szCs w:val="24"/>
        </w:rPr>
        <w:t>the quality of provision and how well provision meets the needs of employers and the local economy.</w:t>
      </w:r>
    </w:p>
    <w:p w:rsidR="001E33FC" w:rsidRPr="00ED05B4" w:rsidRDefault="001E33FC" w:rsidP="00ED05B4">
      <w:pPr>
        <w:ind w:left="360"/>
        <w:rPr>
          <w:rFonts w:ascii="Arial" w:hAnsi="Arial" w:cs="Arial"/>
          <w:sz w:val="24"/>
          <w:szCs w:val="24"/>
        </w:rPr>
      </w:pPr>
    </w:p>
    <w:sectPr w:rsidR="001E33FC" w:rsidRPr="00ED05B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3394206"/>
    <w:multiLevelType w:val="multilevel"/>
    <w:tmpl w:val="9AC87B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22C88"/>
    <w:multiLevelType w:val="multilevel"/>
    <w:tmpl w:val="9AC87B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71AB"/>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9D7BE4"/>
    <w:multiLevelType w:val="hybridMultilevel"/>
    <w:tmpl w:val="71AE81E4"/>
    <w:lvl w:ilvl="0" w:tplc="A8D8097E">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1423A1"/>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0"/>
  </w:num>
  <w:num w:numId="5">
    <w:abstractNumId w:val="19"/>
  </w:num>
  <w:num w:numId="6">
    <w:abstractNumId w:val="24"/>
  </w:num>
  <w:num w:numId="7">
    <w:abstractNumId w:val="14"/>
  </w:num>
  <w:num w:numId="8">
    <w:abstractNumId w:val="10"/>
  </w:num>
  <w:num w:numId="9">
    <w:abstractNumId w:val="9"/>
  </w:num>
  <w:num w:numId="10">
    <w:abstractNumId w:val="13"/>
  </w:num>
  <w:num w:numId="11">
    <w:abstractNumId w:val="7"/>
  </w:num>
  <w:num w:numId="12">
    <w:abstractNumId w:val="23"/>
  </w:num>
  <w:num w:numId="13">
    <w:abstractNumId w:val="15"/>
  </w:num>
  <w:num w:numId="14">
    <w:abstractNumId w:val="17"/>
  </w:num>
  <w:num w:numId="15">
    <w:abstractNumId w:val="16"/>
  </w:num>
  <w:num w:numId="16">
    <w:abstractNumId w:val="4"/>
  </w:num>
  <w:num w:numId="17">
    <w:abstractNumId w:val="2"/>
  </w:num>
  <w:num w:numId="18">
    <w:abstractNumId w:val="12"/>
  </w:num>
  <w:num w:numId="19">
    <w:abstractNumId w:val="31"/>
  </w:num>
  <w:num w:numId="20">
    <w:abstractNumId w:val="30"/>
  </w:num>
  <w:num w:numId="21">
    <w:abstractNumId w:val="27"/>
  </w:num>
  <w:num w:numId="22">
    <w:abstractNumId w:val="8"/>
  </w:num>
  <w:num w:numId="23">
    <w:abstractNumId w:val="29"/>
  </w:num>
  <w:num w:numId="24">
    <w:abstractNumId w:val="25"/>
  </w:num>
  <w:num w:numId="25">
    <w:abstractNumId w:val="26"/>
  </w:num>
  <w:num w:numId="26">
    <w:abstractNumId w:val="20"/>
  </w:num>
  <w:num w:numId="27">
    <w:abstractNumId w:val="21"/>
  </w:num>
  <w:num w:numId="28">
    <w:abstractNumId w:val="28"/>
  </w:num>
  <w:num w:numId="29">
    <w:abstractNumId w:val="18"/>
  </w:num>
  <w:num w:numId="30">
    <w:abstractNumId w:val="22"/>
  </w:num>
  <w:num w:numId="31">
    <w:abstractNumId w:val="5"/>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251"/>
    <w:rsid w:val="000254A5"/>
    <w:rsid w:val="00033129"/>
    <w:rsid w:val="00082CBD"/>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81DA6"/>
    <w:rsid w:val="00194045"/>
    <w:rsid w:val="001B02CA"/>
    <w:rsid w:val="001B0D88"/>
    <w:rsid w:val="001E1342"/>
    <w:rsid w:val="001E33FC"/>
    <w:rsid w:val="001E4892"/>
    <w:rsid w:val="001E7FEF"/>
    <w:rsid w:val="001F0B30"/>
    <w:rsid w:val="001F3177"/>
    <w:rsid w:val="001F5A60"/>
    <w:rsid w:val="0020536D"/>
    <w:rsid w:val="002139B8"/>
    <w:rsid w:val="00214484"/>
    <w:rsid w:val="00215F04"/>
    <w:rsid w:val="00233FA4"/>
    <w:rsid w:val="00234929"/>
    <w:rsid w:val="0024417E"/>
    <w:rsid w:val="00247869"/>
    <w:rsid w:val="00247A64"/>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064BE"/>
    <w:rsid w:val="00427B3B"/>
    <w:rsid w:val="0044305B"/>
    <w:rsid w:val="00455FB5"/>
    <w:rsid w:val="004701E6"/>
    <w:rsid w:val="00472685"/>
    <w:rsid w:val="00472FAF"/>
    <w:rsid w:val="00481972"/>
    <w:rsid w:val="004A61F7"/>
    <w:rsid w:val="004B38BB"/>
    <w:rsid w:val="004C19F2"/>
    <w:rsid w:val="004E5BB0"/>
    <w:rsid w:val="004F4629"/>
    <w:rsid w:val="00507C0C"/>
    <w:rsid w:val="00541AD1"/>
    <w:rsid w:val="00575253"/>
    <w:rsid w:val="005774B5"/>
    <w:rsid w:val="005934CB"/>
    <w:rsid w:val="005B0A82"/>
    <w:rsid w:val="005B14B5"/>
    <w:rsid w:val="005B39E7"/>
    <w:rsid w:val="005D364E"/>
    <w:rsid w:val="005D3F2F"/>
    <w:rsid w:val="005D48BA"/>
    <w:rsid w:val="005E2CDA"/>
    <w:rsid w:val="00602210"/>
    <w:rsid w:val="006053FD"/>
    <w:rsid w:val="00614A0B"/>
    <w:rsid w:val="00620C03"/>
    <w:rsid w:val="00641BAD"/>
    <w:rsid w:val="006477C4"/>
    <w:rsid w:val="006735B1"/>
    <w:rsid w:val="00691DAE"/>
    <w:rsid w:val="00694D16"/>
    <w:rsid w:val="00696192"/>
    <w:rsid w:val="006C526B"/>
    <w:rsid w:val="006C5342"/>
    <w:rsid w:val="006D204A"/>
    <w:rsid w:val="006D23C3"/>
    <w:rsid w:val="006D7D1C"/>
    <w:rsid w:val="006E1F95"/>
    <w:rsid w:val="00731A30"/>
    <w:rsid w:val="0073681F"/>
    <w:rsid w:val="00747983"/>
    <w:rsid w:val="00754E33"/>
    <w:rsid w:val="00767F03"/>
    <w:rsid w:val="007907F6"/>
    <w:rsid w:val="007B118F"/>
    <w:rsid w:val="007B7562"/>
    <w:rsid w:val="007C408E"/>
    <w:rsid w:val="007C47E3"/>
    <w:rsid w:val="007C7413"/>
    <w:rsid w:val="007D133B"/>
    <w:rsid w:val="007E649F"/>
    <w:rsid w:val="00804BBB"/>
    <w:rsid w:val="008138C5"/>
    <w:rsid w:val="00816491"/>
    <w:rsid w:val="0082144D"/>
    <w:rsid w:val="00833668"/>
    <w:rsid w:val="00833912"/>
    <w:rsid w:val="008625D2"/>
    <w:rsid w:val="008749CA"/>
    <w:rsid w:val="00875E06"/>
    <w:rsid w:val="008938F9"/>
    <w:rsid w:val="008C114E"/>
    <w:rsid w:val="008C2291"/>
    <w:rsid w:val="008C6CB5"/>
    <w:rsid w:val="008D7950"/>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431D3"/>
    <w:rsid w:val="00A55247"/>
    <w:rsid w:val="00A60435"/>
    <w:rsid w:val="00A63748"/>
    <w:rsid w:val="00A72B27"/>
    <w:rsid w:val="00A77A41"/>
    <w:rsid w:val="00A82914"/>
    <w:rsid w:val="00A83DA8"/>
    <w:rsid w:val="00A8656B"/>
    <w:rsid w:val="00A870CF"/>
    <w:rsid w:val="00AA1534"/>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716DD"/>
    <w:rsid w:val="00B84A95"/>
    <w:rsid w:val="00B953F4"/>
    <w:rsid w:val="00BA1236"/>
    <w:rsid w:val="00BC6B8B"/>
    <w:rsid w:val="00BC71B8"/>
    <w:rsid w:val="00BD2464"/>
    <w:rsid w:val="00BD5D30"/>
    <w:rsid w:val="00BF02EC"/>
    <w:rsid w:val="00C0787F"/>
    <w:rsid w:val="00C1035F"/>
    <w:rsid w:val="00C16FBA"/>
    <w:rsid w:val="00C2549F"/>
    <w:rsid w:val="00C47B5E"/>
    <w:rsid w:val="00CB45E8"/>
    <w:rsid w:val="00CE1056"/>
    <w:rsid w:val="00CE7969"/>
    <w:rsid w:val="00CF0167"/>
    <w:rsid w:val="00CF08BE"/>
    <w:rsid w:val="00CF7738"/>
    <w:rsid w:val="00D01054"/>
    <w:rsid w:val="00D018A9"/>
    <w:rsid w:val="00D07EDD"/>
    <w:rsid w:val="00D12C96"/>
    <w:rsid w:val="00D15003"/>
    <w:rsid w:val="00D20466"/>
    <w:rsid w:val="00D310BF"/>
    <w:rsid w:val="00D42D86"/>
    <w:rsid w:val="00D44F67"/>
    <w:rsid w:val="00D61529"/>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74B9D"/>
    <w:rsid w:val="00E97F78"/>
    <w:rsid w:val="00EA24D4"/>
    <w:rsid w:val="00EB4C57"/>
    <w:rsid w:val="00EC6CD4"/>
    <w:rsid w:val="00ED05B4"/>
    <w:rsid w:val="00ED1F15"/>
    <w:rsid w:val="00EF0D65"/>
    <w:rsid w:val="00F076F4"/>
    <w:rsid w:val="00F11B98"/>
    <w:rsid w:val="00F26817"/>
    <w:rsid w:val="00F27A7A"/>
    <w:rsid w:val="00F37AA2"/>
    <w:rsid w:val="00F62066"/>
    <w:rsid w:val="00F82DB9"/>
    <w:rsid w:val="00F845A5"/>
    <w:rsid w:val="00F86CB6"/>
    <w:rsid w:val="00F92CBB"/>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nsultations/adult-further-education-measuring-success-detailed-proposals"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BFD2-F055-4539-8B1B-ED4F8CB9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22</cp:revision>
  <dcterms:created xsi:type="dcterms:W3CDTF">2016-03-17T08:32:00Z</dcterms:created>
  <dcterms:modified xsi:type="dcterms:W3CDTF">2016-03-18T10:12:00Z</dcterms:modified>
</cp:coreProperties>
</file>